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highlight w:val="none"/>
        </w:rPr>
        <w:t>杭州市萧山区交通运输管理服务中心编外工作人员报名表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"/>
        <w:gridCol w:w="918"/>
        <w:gridCol w:w="420"/>
        <w:gridCol w:w="1260"/>
        <w:gridCol w:w="900"/>
        <w:gridCol w:w="900"/>
        <w:gridCol w:w="180"/>
        <w:gridCol w:w="1159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要求为背景近期免冠、便装、彩色照片（电子版）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特   长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0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简 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简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及社会关系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主要家庭成员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4"/>
          <w:szCs w:val="24"/>
          <w:highlight w:val="none"/>
        </w:rPr>
      </w:pPr>
    </w:p>
    <w:p>
      <w:pPr>
        <w:spacing w:line="500" w:lineRule="exac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注：主要家庭成员及社会关系，填写配偶、子女情况。注明工作单位及职务，如退休或已去世人员在原工作单位及职务后标注。</w:t>
      </w:r>
    </w:p>
    <w:p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CBC2"/>
    <w:rsid w:val="5DFDCBC2"/>
    <w:rsid w:val="6EE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2021-09-22T16:14:00Z</dcterms:created>
  <dc:creator>mac</dc:creator>
  <cp:lastModifiedBy>小朱</cp:lastModifiedBy>
  <dcterms:modified xsi:type="dcterms:W3CDTF">2021-09-23T02:12:01Z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CD8FE130C6B64804B809CB1FD15608F8</vt:lpwstr>
  </property>
</Properties>
</file>